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14A62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314A6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266"/>
        <w:gridCol w:w="5241"/>
        <w:gridCol w:w="996"/>
        <w:gridCol w:w="996"/>
        <w:gridCol w:w="1134"/>
        <w:gridCol w:w="1276"/>
        <w:gridCol w:w="1843"/>
        <w:gridCol w:w="1561"/>
      </w:tblGrid>
      <w:tr w:rsidR="00441DA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6E3873" w:rsidRPr="003815CC" w:rsidTr="00CE5410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3815CC" w:rsidRDefault="00FB0129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Реагенты для рабочей станции ORTHO </w:t>
            </w:r>
            <w:proofErr w:type="spellStart"/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Workstation</w:t>
            </w:r>
            <w:proofErr w:type="spellEnd"/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для иммуногематологических исследований, закрытого типа</w:t>
            </w:r>
          </w:p>
        </w:tc>
      </w:tr>
      <w:tr w:rsidR="00E322E0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3815CC" w:rsidRDefault="008A45F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3815CC" w:rsidRDefault="00FB0129" w:rsidP="000124D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Кассеты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полиспецифические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анти-человеческие</w:t>
            </w:r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29" w:rsidRPr="003815CC" w:rsidRDefault="00FB0129" w:rsidP="00FB01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129" w:rsidRPr="003815CC" w:rsidRDefault="00FB0129" w:rsidP="00FB01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129" w:rsidRPr="003815CC" w:rsidRDefault="00FB0129" w:rsidP="00FB01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707350 Кассеты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полиспецифические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анти-человеческие</w:t>
            </w:r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322E0" w:rsidRPr="003815CC" w:rsidRDefault="00FB0129" w:rsidP="002D69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Кассеты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полиспецифические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содержащие античеловеческий иммуноглобулин для скрининга антител 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/, 100 кассет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3815CC" w:rsidRDefault="00FB0129" w:rsidP="00414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29" w:rsidRPr="003815CC" w:rsidRDefault="00FB0129" w:rsidP="00414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129" w:rsidRPr="003815CC" w:rsidRDefault="00FB0129" w:rsidP="00414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129" w:rsidRPr="003815CC" w:rsidRDefault="00FB0129" w:rsidP="00414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129" w:rsidRPr="003815CC" w:rsidRDefault="00FB0129" w:rsidP="00414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129" w:rsidRPr="003815CC" w:rsidRDefault="00FB0129" w:rsidP="00414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0.2</w:t>
            </w:r>
          </w:p>
          <w:p w:rsidR="00E322E0" w:rsidRPr="003815CC" w:rsidRDefault="00E322E0" w:rsidP="00FB01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3815CC" w:rsidRDefault="00FB0129" w:rsidP="00FB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bCs/>
                <w:sz w:val="24"/>
                <w:szCs w:val="28"/>
              </w:rPr>
              <w:t>265 155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8FD" w:rsidRPr="003815CC" w:rsidRDefault="003428FD" w:rsidP="00A51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53 031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3815CC" w:rsidRDefault="003815CC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</w:t>
            </w:r>
            <w:r w:rsidR="00E322E0"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3815CC" w:rsidRDefault="00FB0129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</w:t>
            </w:r>
            <w:r w:rsidR="00A51FBB"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договора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="00A51FBB"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</w:t>
            </w:r>
            <w:r w:rsidR="00E322E0"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0124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Кассеты для определения резус фактора и группы крови прямой и обратной реакцией 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2D6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707155 Кассеты для определения резус фактора и группы крови прямой и обратной реакцией / упаковка 100 кассет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center"/>
              <w:rPr>
                <w:szCs w:val="28"/>
                <w:lang w:val="en-US"/>
              </w:rPr>
            </w:pPr>
            <w:r w:rsidRPr="003815CC">
              <w:rPr>
                <w:szCs w:val="28"/>
                <w:lang w:val="en-US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256 850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51 370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FB0129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3428FD" w:rsidP="007D42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течение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Реагенты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Surgiscreen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0.8% для распознавания антител в группе крови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0.8% стандартные эритроциты для скрининга антител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Surgiscreen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/ 0.8%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Surgiscreen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(3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Cell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Screen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Red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Cells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24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Ortho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упаковка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3х10мл (200 тестов)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42 400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508 800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FB0129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3428FD" w:rsidP="007D42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2D6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3% стандартные эритроциты для определения группы крови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 2 (A1+B) / (3%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2 (A1+B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Cells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gram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2D69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3% стандартные эритроциты для определения группы крови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 2 (A1+B) / (3%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Affirmagen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 2 (A1+B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Cells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упаковка 2х3мл (300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тетсов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25 060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300 072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FB0129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3428FD" w:rsidP="007D42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B87036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Тест-полосы для мочевого анализатора </w:t>
            </w: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Aution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Eleven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AE - 4020 INT </w:t>
            </w:r>
            <w:proofErr w:type="gram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IVD ) закрытого типа</w:t>
            </w:r>
          </w:p>
        </w:tc>
      </w:tr>
      <w:tr w:rsidR="003815CC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Тест-полоски</w:t>
            </w:r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для мочевых исследований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Тест-полосы</w:t>
            </w:r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для мочевых исследований на анализаторе. Фасовка: не менее 100 </w:t>
            </w: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тест-полосок</w:t>
            </w:r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в одной тубе. Определение не менее 10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аналитов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. Время определения результата по всем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аналитам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не более 60 секунд. Строгая последовательность расположения тестовых зон по каждому определяемому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аналиту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.  Каждая полоска должна оснащаться идентификационной зоной для совместимости с анализатором. Высокая чувствительность при определении каждого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аналита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. Диапазоны определения: глюкоза 50-1000 мг/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, белок15-1000 мг/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, билирубин  0.5 - мг/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уробилиноген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2-8 мг/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, рН5-9, удельный вес</w:t>
            </w: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.000 – 1.030, кровь (гемоглобин)  0.03 – 1.0мг/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, кетоны  5-150 мг/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, нитриты 0.08 – 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0.5 мг/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дл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, лейкоциты </w:t>
            </w:r>
            <w:r w:rsidRPr="000124DB">
              <w:rPr>
                <w:rFonts w:ascii="Times New Roman" w:hAnsi="Times New Roman" w:cs="Times New Roman"/>
                <w:sz w:val="24"/>
                <w:szCs w:val="28"/>
              </w:rPr>
              <w:t xml:space="preserve">25-300 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Leu</w:t>
            </w:r>
            <w:proofErr w:type="spellEnd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0124DB">
              <w:rPr>
                <w:rFonts w:ascii="Times New Roman" w:hAnsi="Times New Roman" w:cs="Times New Roman"/>
                <w:sz w:val="24"/>
                <w:szCs w:val="28"/>
              </w:rPr>
              <w:t>uL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3815C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both"/>
              <w:rPr>
                <w:szCs w:val="28"/>
              </w:rPr>
            </w:pPr>
            <w:r w:rsidRPr="003815CC">
              <w:rPr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both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15 770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both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1 892 400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FB0129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29" w:rsidRPr="003815CC" w:rsidRDefault="003428FD" w:rsidP="007D42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A67243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Реагенты для портативного Анализатора  i-STAT закрытого типа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Набор реагентов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Набор реагентов в виде специального картриджа для закрытой системы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815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Stat</w:t>
            </w: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. Один картридж позволяет выполнить одновременно следующие тесты: </w:t>
            </w:r>
            <w:proofErr w:type="spellStart"/>
            <w:r w:rsidRPr="003815CC">
              <w:rPr>
                <w:rFonts w:ascii="Times New Roman" w:eastAsia="Tahoma" w:hAnsi="Times New Roman" w:cs="Times New Roman"/>
                <w:sz w:val="24"/>
                <w:szCs w:val="28"/>
              </w:rPr>
              <w:t>Na</w:t>
            </w:r>
            <w:proofErr w:type="spellEnd"/>
            <w:r w:rsidRPr="003815CC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, K, </w:t>
            </w:r>
            <w:proofErr w:type="spellStart"/>
            <w:r w:rsidRPr="003815CC">
              <w:rPr>
                <w:rFonts w:ascii="Times New Roman" w:eastAsia="Tahoma" w:hAnsi="Times New Roman" w:cs="Times New Roman"/>
                <w:sz w:val="24"/>
                <w:szCs w:val="28"/>
              </w:rPr>
              <w:t>pH</w:t>
            </w:r>
            <w:proofErr w:type="spellEnd"/>
            <w:r w:rsidRPr="003815CC">
              <w:rPr>
                <w:rFonts w:ascii="Times New Roman" w:eastAsia="Tahoma" w:hAnsi="Times New Roman" w:cs="Times New Roman"/>
                <w:sz w:val="24"/>
                <w:szCs w:val="28"/>
              </w:rPr>
              <w:t>, pCO2, pO2, TCO2, HCO3, BE, sO2, гематокрита, гемоглобина. На борту картриджа должны быть встроенные чип позволяющий системе автоматически проводить идентификацию, калибровку, а также автоматическая система контроля качества. Время считывания картриджа не более 2 минут. Фасовка: одна упаковка – 25 картриджей.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381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rPr>
                <w:szCs w:val="28"/>
              </w:rPr>
            </w:pPr>
            <w:r w:rsidRPr="003815CC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A51FBB" w:rsidP="00A51FBB">
            <w:pPr>
              <w:pStyle w:val="11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298 100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596 200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Шприцы с сухим гепарином для анализатора критических состояний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a3"/>
              <w:rPr>
                <w:szCs w:val="28"/>
              </w:rPr>
            </w:pPr>
            <w:proofErr w:type="spellStart"/>
            <w:r w:rsidRPr="003815CC">
              <w:rPr>
                <w:szCs w:val="28"/>
              </w:rPr>
              <w:t>Гепариновые</w:t>
            </w:r>
            <w:proofErr w:type="spellEnd"/>
            <w:r w:rsidRPr="003815CC">
              <w:rPr>
                <w:szCs w:val="28"/>
              </w:rPr>
              <w:t xml:space="preserve"> шприцы для забора венозной или артериальной </w:t>
            </w:r>
            <w:proofErr w:type="gramStart"/>
            <w:r w:rsidRPr="003815CC">
              <w:rPr>
                <w:szCs w:val="28"/>
              </w:rPr>
              <w:t>крови</w:t>
            </w:r>
            <w:proofErr w:type="gramEnd"/>
            <w:r w:rsidRPr="003815CC">
              <w:rPr>
                <w:szCs w:val="28"/>
              </w:rPr>
              <w:t xml:space="preserve"> предназначенные для переноса биоматериалов в портативный анализатор критический состояний. В упаковке 50 шт. Объем 2 мл </w:t>
            </w:r>
          </w:p>
          <w:p w:rsidR="00FB0129" w:rsidRPr="003815CC" w:rsidRDefault="00FB0129" w:rsidP="00E80D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3815C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rPr>
                <w:szCs w:val="28"/>
              </w:rPr>
            </w:pPr>
            <w:r w:rsidRPr="003815CC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31 000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3815CC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62 000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611235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Реагенты  для портативного флуоресцентного анализатора </w:t>
            </w: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Finecare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FIA </w:t>
            </w: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Meter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Plus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закрытого типа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0124DB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Finecare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(HbA1c)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Hemoglobin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A1c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Rapid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Quantitative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Test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 быстрый количественный тест на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гликолизиро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Быстрый количественный тест на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гликированный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гемоглобин (HbA1c). В составе набора 25 специальных картриджей, идентификационный чип картриджей, буфер.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381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65 200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652 000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0124DB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Быстрый количественный экспресс-тест на D-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Dimer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0124DB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Быстрый количественный экспресс-тест на D-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Dimer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для портативного флуоресцентного анализатора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Finecare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FIA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Meter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Plus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815CC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91 400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457 000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Быстрый количественный экспресс-тест на </w:t>
            </w:r>
            <w:proofErr w:type="spellStart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Procalcitonin</w:t>
            </w:r>
            <w:proofErr w:type="spellEnd"/>
            <w:r w:rsidRPr="000124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(PCT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Быстрый количественный тест на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прокальцитонин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(PCT) для портативного флуоресцентного анализатора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Finecare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FIA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Meter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Plus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упак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A51FBB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95 800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479 000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Быстрый количественный тест 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кардиологический</w:t>
            </w:r>
          </w:p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Тропонин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I (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cTn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I)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Быстрый количественный тест 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кардиологический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Тропонин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I (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cTn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I) для портативного флуоресцентного анализатора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Finecare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FIA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Meter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Plus</w:t>
            </w:r>
            <w:proofErr w:type="spell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381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103 200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516 000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Быстрый количественный тест на C-реактивный</w:t>
            </w:r>
          </w:p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белок (CRP)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Быстрый количественный тест на C-реактивный</w:t>
            </w:r>
          </w:p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белок (CRP) для портативного флуоресцентного анализатора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Finecare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FIA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Meter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Plus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815CC" w:rsidP="00381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65 800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329 000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1428D5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Эритротест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™ - </w:t>
            </w: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Цоликлоны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клинической и </w:t>
            </w:r>
            <w:proofErr w:type="spellStart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>трансфузиологической</w:t>
            </w:r>
            <w:proofErr w:type="spellEnd"/>
            <w:r w:rsidRPr="003815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практики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Эритротест</w:t>
            </w:r>
            <w:proofErr w:type="spellEnd"/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™-</w:t>
            </w:r>
            <w:proofErr w:type="spellStart"/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Цоликлоны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Анти-А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a3"/>
              <w:rPr>
                <w:szCs w:val="28"/>
              </w:rPr>
            </w:pPr>
            <w:proofErr w:type="spellStart"/>
            <w:r w:rsidRPr="003815CC">
              <w:rPr>
                <w:szCs w:val="28"/>
              </w:rPr>
              <w:t>Эритротест</w:t>
            </w:r>
            <w:proofErr w:type="spellEnd"/>
            <w:r w:rsidRPr="003815CC">
              <w:rPr>
                <w:szCs w:val="28"/>
              </w:rPr>
              <w:t>™-</w:t>
            </w:r>
            <w:proofErr w:type="spellStart"/>
            <w:r w:rsidRPr="003815CC">
              <w:rPr>
                <w:szCs w:val="28"/>
              </w:rPr>
              <w:t>Цоликлоны</w:t>
            </w:r>
            <w:proofErr w:type="spellEnd"/>
            <w:r w:rsidRPr="003815CC">
              <w:rPr>
                <w:szCs w:val="28"/>
              </w:rPr>
              <w:t xml:space="preserve"> Анти-А, Флакон капельница 10мл-№10,1уп/10фл</w:t>
            </w:r>
            <w:proofErr w:type="gramStart"/>
            <w:r w:rsidRPr="003815CC">
              <w:rPr>
                <w:szCs w:val="28"/>
              </w:rPr>
              <w:t xml:space="preserve"> Д</w:t>
            </w:r>
            <w:proofErr w:type="gramEnd"/>
            <w:r w:rsidRPr="003815CC">
              <w:rPr>
                <w:szCs w:val="28"/>
              </w:rPr>
              <w:t>ля определения группы крови по системе АВО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A51FBB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11 950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239 000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414D0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414D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Эритротест</w:t>
            </w:r>
            <w:proofErr w:type="spellEnd"/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™-</w:t>
            </w:r>
            <w:proofErr w:type="spellStart"/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Цоликлоны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Анти-В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a3"/>
              <w:rPr>
                <w:szCs w:val="28"/>
              </w:rPr>
            </w:pPr>
            <w:proofErr w:type="spellStart"/>
            <w:r w:rsidRPr="003815CC">
              <w:rPr>
                <w:szCs w:val="28"/>
              </w:rPr>
              <w:t>Эритротест</w:t>
            </w:r>
            <w:proofErr w:type="spellEnd"/>
            <w:r w:rsidRPr="003815CC">
              <w:rPr>
                <w:szCs w:val="28"/>
              </w:rPr>
              <w:t>™-</w:t>
            </w:r>
            <w:proofErr w:type="spellStart"/>
            <w:r w:rsidRPr="003815CC">
              <w:rPr>
                <w:szCs w:val="28"/>
              </w:rPr>
              <w:t>Цоликлоны</w:t>
            </w:r>
            <w:proofErr w:type="spellEnd"/>
            <w:r w:rsidRPr="003815CC">
              <w:rPr>
                <w:szCs w:val="28"/>
              </w:rPr>
              <w:t xml:space="preserve"> Анти-А, Флакон капельница 10мл-№10,1уп/10фл</w:t>
            </w:r>
            <w:proofErr w:type="gramStart"/>
            <w:r w:rsidRPr="003815CC">
              <w:rPr>
                <w:szCs w:val="28"/>
              </w:rPr>
              <w:t xml:space="preserve"> Д</w:t>
            </w:r>
            <w:proofErr w:type="gramEnd"/>
            <w:r w:rsidRPr="003815CC">
              <w:rPr>
                <w:szCs w:val="28"/>
              </w:rPr>
              <w:t xml:space="preserve">ля </w:t>
            </w:r>
            <w:r w:rsidRPr="003815CC">
              <w:rPr>
                <w:szCs w:val="28"/>
              </w:rPr>
              <w:lastRenderedPageBreak/>
              <w:t>определения группы крови по системе АВО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11 950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239 000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A205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lastRenderedPageBreak/>
              <w:t>15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Эритротест</w:t>
            </w:r>
            <w:proofErr w:type="spellEnd"/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™-</w:t>
            </w:r>
            <w:proofErr w:type="spellStart"/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Цоликлоны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Анти-АВ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a3"/>
              <w:rPr>
                <w:szCs w:val="28"/>
              </w:rPr>
            </w:pPr>
            <w:proofErr w:type="spellStart"/>
            <w:r w:rsidRPr="003815CC">
              <w:rPr>
                <w:szCs w:val="28"/>
              </w:rPr>
              <w:t>Эритротест</w:t>
            </w:r>
            <w:proofErr w:type="spellEnd"/>
            <w:r w:rsidRPr="003815CC">
              <w:rPr>
                <w:szCs w:val="28"/>
              </w:rPr>
              <w:t>™-</w:t>
            </w:r>
            <w:proofErr w:type="spellStart"/>
            <w:r w:rsidRPr="003815CC">
              <w:rPr>
                <w:szCs w:val="28"/>
              </w:rPr>
              <w:t>Цоликлоны</w:t>
            </w:r>
            <w:proofErr w:type="spellEnd"/>
            <w:r w:rsidRPr="003815CC">
              <w:rPr>
                <w:szCs w:val="28"/>
              </w:rPr>
              <w:t xml:space="preserve"> Анти-А, Флакон капельница 10мл-№10,1уп/10фл</w:t>
            </w:r>
            <w:proofErr w:type="gramStart"/>
            <w:r w:rsidRPr="003815CC">
              <w:rPr>
                <w:szCs w:val="28"/>
              </w:rPr>
              <w:t xml:space="preserve"> Д</w:t>
            </w:r>
            <w:proofErr w:type="gramEnd"/>
            <w:r w:rsidRPr="003815CC">
              <w:rPr>
                <w:szCs w:val="28"/>
              </w:rPr>
              <w:t>ля определения группы крови по системе АВО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10 870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217 400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A205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428F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Эритротест</w:t>
            </w:r>
            <w:proofErr w:type="spellEnd"/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™-</w:t>
            </w:r>
            <w:proofErr w:type="spellStart"/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Цоликлоны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Анти-D Супер (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IgM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pStyle w:val="a3"/>
              <w:rPr>
                <w:szCs w:val="28"/>
              </w:rPr>
            </w:pPr>
            <w:r w:rsidRPr="003815CC">
              <w:rPr>
                <w:szCs w:val="28"/>
              </w:rPr>
              <w:t xml:space="preserve">Флакон капельница 5 мл-№10, 1уп/10фл. Для выявления антигена D (Rh1) системы Резус в эритроцитах человека, в том числе и его слабых вариантов </w:t>
            </w:r>
            <w:proofErr w:type="spellStart"/>
            <w:r w:rsidRPr="003815CC">
              <w:rPr>
                <w:szCs w:val="28"/>
              </w:rPr>
              <w:t>Du</w:t>
            </w:r>
            <w:proofErr w:type="spellEnd"/>
            <w:r w:rsidRPr="003815CC">
              <w:rPr>
                <w:szCs w:val="28"/>
              </w:rPr>
              <w:t xml:space="preserve">. Определяет </w:t>
            </w:r>
            <w:proofErr w:type="spellStart"/>
            <w:r w:rsidRPr="003815CC">
              <w:rPr>
                <w:szCs w:val="28"/>
              </w:rPr>
              <w:t>большенство</w:t>
            </w:r>
            <w:proofErr w:type="spellEnd"/>
            <w:r w:rsidRPr="003815CC">
              <w:rPr>
                <w:szCs w:val="28"/>
              </w:rPr>
              <w:t xml:space="preserve"> типов слабых вариантов антигенов D.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26 800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536 000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8FD" w:rsidRPr="003815CC" w:rsidRDefault="003428FD">
            <w:pPr>
              <w:rPr>
                <w:sz w:val="24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428F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Набор д/окраски мазков по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Граму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на 100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предм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. ст., 100мл, АГАТ, 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наб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pStyle w:val="a3"/>
              <w:rPr>
                <w:szCs w:val="28"/>
              </w:rPr>
            </w:pPr>
            <w:r w:rsidRPr="003815CC">
              <w:rPr>
                <w:szCs w:val="28"/>
              </w:rPr>
              <w:t xml:space="preserve">Набор д/окраски мазков по </w:t>
            </w:r>
            <w:proofErr w:type="spellStart"/>
            <w:r w:rsidRPr="003815CC">
              <w:rPr>
                <w:szCs w:val="28"/>
              </w:rPr>
              <w:t>Граму</w:t>
            </w:r>
            <w:proofErr w:type="spellEnd"/>
            <w:r w:rsidRPr="003815CC">
              <w:rPr>
                <w:szCs w:val="28"/>
              </w:rPr>
              <w:t xml:space="preserve"> на 100 </w:t>
            </w:r>
            <w:proofErr w:type="spellStart"/>
            <w:r w:rsidRPr="003815CC">
              <w:rPr>
                <w:szCs w:val="28"/>
              </w:rPr>
              <w:t>предм</w:t>
            </w:r>
            <w:proofErr w:type="spellEnd"/>
            <w:r w:rsidRPr="003815CC">
              <w:rPr>
                <w:szCs w:val="28"/>
              </w:rPr>
              <w:t xml:space="preserve">. ст., 100мл, АГАТ, </w:t>
            </w:r>
            <w:proofErr w:type="spellStart"/>
            <w:r w:rsidRPr="003815CC">
              <w:rPr>
                <w:szCs w:val="28"/>
              </w:rPr>
              <w:t>наб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6 550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131 000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8FD" w:rsidRPr="003815CC" w:rsidRDefault="003428FD">
            <w:pPr>
              <w:rPr>
                <w:sz w:val="24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428F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8A45FE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Метод Като (Набор для обнаружения в фекалиях яиц гельминтов по методу Като)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Метод Като (Набор для обнаружения в фекалиях яиц гельминтов по методу Като)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48 400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193 600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8FD" w:rsidRPr="003815CC" w:rsidRDefault="003428FD">
            <w:pPr>
              <w:rPr>
                <w:sz w:val="24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428FD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pStyle w:val="11"/>
              <w:rPr>
                <w:szCs w:val="28"/>
              </w:rPr>
            </w:pPr>
            <w:r w:rsidRPr="003815CC">
              <w:rPr>
                <w:szCs w:val="28"/>
              </w:rPr>
              <w:lastRenderedPageBreak/>
              <w:t>19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Азур-эозин по Романовскому с буфером, 1 л</w:t>
            </w: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spellStart"/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разв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1:20)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Азур-эозин по Романовскому с буфером, 1 л</w:t>
            </w:r>
            <w:proofErr w:type="gram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spellStart"/>
            <w:proofErr w:type="gram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разв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1:20)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литр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5 100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10 200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3815CC" w:rsidRDefault="003428FD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8FD" w:rsidRPr="003815CC" w:rsidRDefault="003428FD">
            <w:pPr>
              <w:rPr>
                <w:sz w:val="24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3815CC" w:rsidTr="003815C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8A45FE">
            <w:pPr>
              <w:pStyle w:val="11"/>
              <w:rPr>
                <w:szCs w:val="28"/>
              </w:rPr>
            </w:pPr>
            <w:r w:rsidRPr="003815CC">
              <w:rPr>
                <w:szCs w:val="28"/>
              </w:rPr>
              <w:t>2</w:t>
            </w:r>
            <w:r w:rsidR="008A45FE">
              <w:rPr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Краситель-фиксатор Эозин, метиленовый синий по Май-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Грюнвальду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1л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Краситель-фиксатор Эозин, метиленовый синий по Май-</w:t>
            </w:r>
            <w:proofErr w:type="spellStart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>Грюнвальду</w:t>
            </w:r>
            <w:proofErr w:type="spellEnd"/>
            <w:r w:rsidRPr="003815CC">
              <w:rPr>
                <w:rFonts w:ascii="Times New Roman" w:hAnsi="Times New Roman" w:cs="Times New Roman"/>
                <w:sz w:val="24"/>
                <w:szCs w:val="28"/>
              </w:rPr>
              <w:t xml:space="preserve"> 1л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815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литр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E80D5B">
            <w:pPr>
              <w:pStyle w:val="11"/>
              <w:jc w:val="center"/>
              <w:rPr>
                <w:szCs w:val="28"/>
              </w:rPr>
            </w:pPr>
            <w:r w:rsidRPr="003815CC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bCs/>
                <w:szCs w:val="28"/>
              </w:rPr>
            </w:pPr>
            <w:r w:rsidRPr="003815CC">
              <w:rPr>
                <w:bCs/>
                <w:szCs w:val="28"/>
              </w:rPr>
              <w:t>3 610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51FBB">
            <w:pPr>
              <w:pStyle w:val="11"/>
              <w:jc w:val="center"/>
              <w:rPr>
                <w:color w:val="000000"/>
                <w:szCs w:val="28"/>
              </w:rPr>
            </w:pPr>
            <w:r w:rsidRPr="003815CC">
              <w:rPr>
                <w:color w:val="000000"/>
                <w:szCs w:val="28"/>
              </w:rPr>
              <w:t>7 220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FB0129" w:rsidP="00A205A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3815CC" w:rsidRDefault="003428FD" w:rsidP="00A205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FB0129">
        <w:rPr>
          <w:sz w:val="24"/>
          <w:szCs w:val="24"/>
        </w:rPr>
        <w:t>21</w:t>
      </w:r>
      <w:r w:rsidR="00500ABA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FB0129">
        <w:rPr>
          <w:sz w:val="24"/>
          <w:szCs w:val="24"/>
        </w:rPr>
        <w:t>21</w:t>
      </w:r>
      <w:r w:rsidR="00500ABA">
        <w:rPr>
          <w:sz w:val="24"/>
          <w:szCs w:val="24"/>
        </w:rPr>
        <w:t xml:space="preserve"> февраля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2D6991"/>
    <w:rsid w:val="00314A62"/>
    <w:rsid w:val="0033325E"/>
    <w:rsid w:val="003428FD"/>
    <w:rsid w:val="003815CC"/>
    <w:rsid w:val="00441DAD"/>
    <w:rsid w:val="00500ABA"/>
    <w:rsid w:val="006E3873"/>
    <w:rsid w:val="008A45FE"/>
    <w:rsid w:val="00936555"/>
    <w:rsid w:val="009B2DD9"/>
    <w:rsid w:val="009E163E"/>
    <w:rsid w:val="00A51FBB"/>
    <w:rsid w:val="00B06541"/>
    <w:rsid w:val="00D821CC"/>
    <w:rsid w:val="00E322E0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2022-01-24T07:24:00Z</dcterms:created>
  <dcterms:modified xsi:type="dcterms:W3CDTF">2022-02-14T08:20:00Z</dcterms:modified>
</cp:coreProperties>
</file>