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C86856" w:rsidRPr="005C4BF4" w:rsidTr="00065788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52E9D">
              <w:rPr>
                <w:b/>
                <w:bCs/>
                <w:sz w:val="22"/>
                <w:szCs w:val="22"/>
              </w:rPr>
              <w:t>1</w:t>
            </w:r>
            <w:r w:rsidR="00065788">
              <w:rPr>
                <w:b/>
                <w:bCs/>
                <w:sz w:val="22"/>
                <w:szCs w:val="22"/>
              </w:rPr>
              <w:t>4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E226A3">
              <w:rPr>
                <w:b/>
                <w:bCs/>
                <w:sz w:val="22"/>
                <w:szCs w:val="22"/>
              </w:rPr>
              <w:t>1</w:t>
            </w:r>
            <w:r w:rsidR="00065788">
              <w:rPr>
                <w:b/>
                <w:bCs/>
                <w:sz w:val="22"/>
                <w:szCs w:val="22"/>
              </w:rPr>
              <w:t>6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6177D1">
              <w:rPr>
                <w:b/>
                <w:bCs/>
                <w:sz w:val="22"/>
                <w:szCs w:val="22"/>
              </w:rPr>
              <w:t>10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065788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065788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065788">
        <w:trPr>
          <w:trHeight w:val="93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4269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6804"/>
              <w:gridCol w:w="1134"/>
              <w:gridCol w:w="1134"/>
              <w:gridCol w:w="1134"/>
              <w:gridCol w:w="1228"/>
            </w:tblGrid>
            <w:tr w:rsidR="00065788" w:rsidRPr="000D37A7" w:rsidTr="00065788">
              <w:trPr>
                <w:trHeight w:val="86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065788" w:rsidRDefault="00065788" w:rsidP="0006578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57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0D37A7" w:rsidRDefault="00065788" w:rsidP="00065788">
                  <w:pPr>
                    <w:pStyle w:val="a6"/>
                    <w:ind w:right="-1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0D37A7" w:rsidRDefault="00065788" w:rsidP="00065788">
                  <w:pPr>
                    <w:pStyle w:val="a6"/>
                    <w:ind w:right="-1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0D37A7">
                    <w:rPr>
                      <w:b/>
                      <w:bCs/>
                      <w:sz w:val="20"/>
                      <w:szCs w:val="20"/>
                    </w:rPr>
                    <w:t>ехническая спецификация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788" w:rsidRPr="000D37A7" w:rsidRDefault="00065788" w:rsidP="00065788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0D37A7" w:rsidRDefault="00065788" w:rsidP="00065788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065788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065788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065788" w:rsidRPr="000D37A7" w:rsidTr="0006578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Pr="000D37A7" w:rsidRDefault="00065788" w:rsidP="00065788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Тест полоски для мочевых анализаторов </w:t>
                  </w:r>
                </w:p>
                <w:p w:rsidR="00065788" w:rsidRPr="000D37A7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065788" w:rsidRPr="000D37A7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065788" w:rsidRPr="000D37A7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065788" w:rsidRPr="000D37A7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065788" w:rsidRPr="000D37A7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Предназначены для полуколичественной диагностики </w:t>
                  </w:r>
                  <w:proofErr w:type="spellStart"/>
                  <w:r w:rsidRPr="00C46385">
                    <w:rPr>
                      <w:sz w:val="20"/>
                      <w:szCs w:val="20"/>
                    </w:rPr>
                    <w:t>in</w:t>
                  </w:r>
                  <w:proofErr w:type="spellEnd"/>
                  <w:r w:rsidRPr="00C46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85">
                    <w:rPr>
                      <w:sz w:val="20"/>
                      <w:szCs w:val="20"/>
                    </w:rPr>
                    <w:t>vitro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4074">
                    <w:rPr>
                      <w:sz w:val="20"/>
                      <w:szCs w:val="20"/>
                    </w:rPr>
                    <w:t>Химический состав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тест-полосок</w:t>
                  </w:r>
                  <w:proofErr w:type="gramEnd"/>
                  <w:r w:rsidRPr="00C04074">
                    <w:rPr>
                      <w:sz w:val="20"/>
                      <w:szCs w:val="20"/>
                    </w:rPr>
                    <w:t>: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Белок. Ингредиенты: 0,3%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тетрабромфенолового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синего, 97,3 % (по массе) буфера, 2,4 %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>Кровь. З</w:t>
                  </w:r>
                  <w:proofErr w:type="gramStart"/>
                  <w:r w:rsidRPr="00C04074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C04074">
                    <w:rPr>
                      <w:sz w:val="20"/>
                      <w:szCs w:val="20"/>
                    </w:rPr>
                    <w:t xml:space="preserve">’,5,5’-тетраметилбензидина. Ингредиенты: 6,8 %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диизопропилбензола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дигидропероксида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, 4,0% (по массе) З</w:t>
                  </w:r>
                  <w:proofErr w:type="gramStart"/>
                  <w:r w:rsidRPr="00C04074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C04074">
                    <w:rPr>
                      <w:sz w:val="20"/>
                      <w:szCs w:val="20"/>
                    </w:rPr>
                    <w:t>’,5,5’-тетраметилбензидина, 48,0% (по массе) буфера, 41,2 %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Лейкоциты. Ингредиенты: 0,4 % (по массе) производного сложного эфира пиррола и аминокислот, 0,2 %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диазосоли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, 40,9 % (по массе) буфера, 58,5 %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>Нитриты. Ингредиенты: 1,4% (по массе) р-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арсаниловой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кислоты, 1,3% (по массе) 1,2,3,4-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тетрагидробензо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(h)хинолин-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триол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, 10,8 % (по массе) буфера, 86,5 %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Глюкоза. Ингредиенты: 2,2%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окидазы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глюкозы (микробной, 13ME), 1,0%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пероксидазы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пероксидаза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хрена3300 ME), 8,1 % (по массе) иодида калия, 69,8 % (по массе) буфера. 18,9 % (по масс</w:t>
                  </w:r>
                  <w:r>
                    <w:rPr>
                      <w:sz w:val="20"/>
                      <w:szCs w:val="20"/>
                    </w:rPr>
                    <w:t xml:space="preserve">е) нереагирующих ингредиентов. 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Кетоны. Ингредиенты: 7,1 %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нитропруссида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на</w:t>
                  </w:r>
                  <w:r>
                    <w:rPr>
                      <w:sz w:val="20"/>
                      <w:szCs w:val="20"/>
                    </w:rPr>
                    <w:t>трия. 92,9 % (по массе) буфера.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>Кислотность (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). Ингредиенты: 0,2% (по массе) метилового красного, 2,8%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бромтимолового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синего, 97,0 %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065788" w:rsidRPr="00C04074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Удельный вес. Ингредиенты: 2,8%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бромтимолового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синего, 68,8 % (по массе) сополимер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метилвинилового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эфира и малеинового ангидрида. 28,4 </w:t>
                  </w:r>
                  <w:r>
                    <w:rPr>
                      <w:sz w:val="20"/>
                      <w:szCs w:val="20"/>
                    </w:rPr>
                    <w:t>% (по массе) гидроксида натрия.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Билирубин. Ингредиенты: 0,4 %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диазосоли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2,4-дихлоранилина, 37,3 % (по массе) буфера, 62,3%.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625040">
                    <w:rPr>
                      <w:sz w:val="20"/>
                      <w:szCs w:val="20"/>
                    </w:rPr>
                    <w:t xml:space="preserve">Время измерения: 60 сек. 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Фасовка и количество тестов: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- 100 </w:t>
                  </w:r>
                  <w:proofErr w:type="gramStart"/>
                  <w:r>
                    <w:rPr>
                      <w:sz w:val="20"/>
                      <w:szCs w:val="20"/>
                    </w:rPr>
                    <w:t>тест-полосок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(100 измерений).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Идентификационные полосы обеспечиваю</w:t>
                  </w:r>
                  <w:r w:rsidRPr="000215D4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 </w:t>
                  </w:r>
                  <w:r w:rsidRPr="000215D4">
                    <w:rPr>
                      <w:sz w:val="20"/>
                      <w:szCs w:val="20"/>
                    </w:rPr>
                    <w:t>автоматическое распознавание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215D4">
                    <w:rPr>
                      <w:sz w:val="20"/>
                      <w:szCs w:val="20"/>
                    </w:rPr>
                    <w:t>тест-полоски</w:t>
                  </w:r>
                  <w:proofErr w:type="gramEnd"/>
                  <w:r w:rsidRPr="000215D4">
                    <w:rPr>
                      <w:sz w:val="20"/>
                      <w:szCs w:val="20"/>
                    </w:rPr>
                    <w:t xml:space="preserve"> и использование соответствующих на</w:t>
                  </w:r>
                  <w:r>
                    <w:rPr>
                      <w:sz w:val="20"/>
                      <w:szCs w:val="20"/>
                    </w:rPr>
                    <w:t>строек при выполнении анализа;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0215D4">
                    <w:rPr>
                      <w:sz w:val="20"/>
                      <w:szCs w:val="20"/>
                    </w:rPr>
                    <w:t xml:space="preserve"> </w:t>
                  </w:r>
                  <w:r w:rsidRPr="00AB4838">
                    <w:rPr>
                      <w:sz w:val="20"/>
                      <w:szCs w:val="20"/>
                    </w:rPr>
                    <w:t>автоматическую проверку качества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483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B4838">
                    <w:rPr>
                      <w:sz w:val="20"/>
                      <w:szCs w:val="20"/>
                    </w:rPr>
                    <w:t>Auto-Check</w:t>
                  </w:r>
                  <w:proofErr w:type="spellEnd"/>
                  <w:r w:rsidRPr="00AB4838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предотвращение накопления жидкостей;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определение</w:t>
                  </w:r>
                  <w:r w:rsidRPr="00EA0622">
                    <w:rPr>
                      <w:sz w:val="20"/>
                      <w:szCs w:val="20"/>
                    </w:rPr>
                    <w:t xml:space="preserve"> того, была ли полоска повреждена от воздействия влаги.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Аналитическая чувствительность:</w:t>
                  </w:r>
                </w:p>
                <w:p w:rsidR="00065788" w:rsidRPr="00F72A7A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>Белок: 0,15-0,3 г/л (15-30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альбумина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Pr="00F72A7A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>Кровь: 150-620 мкг/</w:t>
                  </w:r>
                  <w:proofErr w:type="gramStart"/>
                  <w:r w:rsidRPr="00F72A7A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F72A7A">
                    <w:rPr>
                      <w:sz w:val="20"/>
                      <w:szCs w:val="20"/>
                    </w:rPr>
                    <w:t xml:space="preserve"> (0,015-0,062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гемоглобина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Pr="00F72A7A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>Лейкоциты: 5-15 клеток в поле зрения (крупное увеличение) в клиническом образце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Pr="00F72A7A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Нитриты: 13-22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мкмоль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(0,06-0,1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 xml:space="preserve">) </w:t>
                  </w:r>
                  <w:proofErr w:type="gramStart"/>
                  <w:r w:rsidRPr="00F72A7A">
                    <w:rPr>
                      <w:sz w:val="20"/>
                      <w:szCs w:val="20"/>
                    </w:rPr>
                    <w:t>нитрит-иона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Pr="00F72A7A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Глюкоза: 4-7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(75-125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глюкозы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Pr="00F72A7A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Кетоны: 0,5-1,0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(5-10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ацетоуксусной кислоты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Билирубин: 7-14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мкмоль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(0,4-0,8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билирубина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65788" w:rsidRPr="002912D9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In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Vitro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Diagnostic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Directive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IVDD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>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625040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упаковка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1440 000</w:t>
                  </w:r>
                </w:p>
              </w:tc>
            </w:tr>
            <w:tr w:rsidR="00065788" w:rsidRPr="000D37A7" w:rsidTr="0006578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Default="00065788" w:rsidP="00065788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Pr="002962C7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Контрольные тест полоски к мочевому анализатору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2962C7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2962C7">
                    <w:rPr>
                      <w:sz w:val="20"/>
                      <w:szCs w:val="20"/>
                    </w:rPr>
                    <w:t>контрольные тест-полоски для анализа мочи, 25 полосок-положительный контроль, 25 полосо</w:t>
                  </w:r>
                  <w:proofErr w:type="gramStart"/>
                  <w:r w:rsidRPr="002962C7">
                    <w:rPr>
                      <w:sz w:val="20"/>
                      <w:szCs w:val="20"/>
                    </w:rPr>
                    <w:t>к-</w:t>
                  </w:r>
                  <w:proofErr w:type="gramEnd"/>
                  <w:r w:rsidRPr="002962C7">
                    <w:rPr>
                      <w:sz w:val="20"/>
                      <w:szCs w:val="20"/>
                    </w:rPr>
                    <w:t xml:space="preserve"> отрицательного контроля. Положительный и отрицательный контроль для глюкозы, билирубина, кетонов (ацетоуксусной кислоты), удельного веса, крови, рН, белок, </w:t>
                  </w:r>
                  <w:proofErr w:type="spellStart"/>
                  <w:r w:rsidRPr="002962C7">
                    <w:rPr>
                      <w:sz w:val="20"/>
                      <w:szCs w:val="20"/>
                    </w:rPr>
                    <w:t>уробилиноген</w:t>
                  </w:r>
                  <w:proofErr w:type="spellEnd"/>
                  <w:r w:rsidRPr="002962C7">
                    <w:rPr>
                      <w:sz w:val="20"/>
                      <w:szCs w:val="20"/>
                    </w:rPr>
                    <w:t xml:space="preserve">, нитриты, лейкоциты при анализе в </w:t>
                  </w:r>
                  <w:proofErr w:type="spellStart"/>
                  <w:r w:rsidRPr="002962C7">
                    <w:rPr>
                      <w:sz w:val="20"/>
                      <w:szCs w:val="20"/>
                    </w:rPr>
                    <w:t>Клинитек</w:t>
                  </w:r>
                  <w:proofErr w:type="spellEnd"/>
                  <w:r w:rsidRPr="002962C7">
                    <w:rPr>
                      <w:sz w:val="20"/>
                      <w:szCs w:val="20"/>
                    </w:rPr>
                    <w:t xml:space="preserve"> Статус.</w:t>
                  </w:r>
                </w:p>
                <w:p w:rsidR="00065788" w:rsidRPr="002962C7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2962C7">
                    <w:rPr>
                      <w:sz w:val="20"/>
                      <w:szCs w:val="20"/>
                    </w:rPr>
                    <w:t>Положительная и отрицательные тест-полоска для контроля анализа мочи - это полоски твердого пластика, к которым прикреплены семь исследуемых областей</w:t>
                  </w:r>
                  <w:proofErr w:type="gramStart"/>
                  <w:r w:rsidRPr="002962C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962C7">
                    <w:rPr>
                      <w:sz w:val="20"/>
                      <w:szCs w:val="20"/>
                    </w:rPr>
                    <w:t xml:space="preserve">каждая из которых содержит один или несколько природных или синтетических ингредиентов, которые при растворении некоторым количеством дистиллированной воды, обеспечивают положительный или отрицательный результат  с </w:t>
                  </w:r>
                  <w:proofErr w:type="spellStart"/>
                  <w:r w:rsidRPr="002962C7">
                    <w:rPr>
                      <w:sz w:val="20"/>
                      <w:szCs w:val="20"/>
                    </w:rPr>
                    <w:t>multistix</w:t>
                  </w:r>
                  <w:proofErr w:type="spellEnd"/>
                  <w:r w:rsidRPr="002962C7">
                    <w:rPr>
                      <w:sz w:val="20"/>
                      <w:szCs w:val="20"/>
                    </w:rPr>
                    <w:t xml:space="preserve"> или таблетками ,  используемые в анализе мочи.</w:t>
                  </w:r>
                </w:p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Упак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131 000</w:t>
                  </w:r>
                </w:p>
              </w:tc>
            </w:tr>
            <w:tr w:rsidR="00065788" w:rsidRPr="000D37A7" w:rsidTr="0006578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Default="00065788" w:rsidP="00065788">
                  <w:pPr>
                    <w:pStyle w:val="a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2962C7" w:rsidRDefault="00065788" w:rsidP="007517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Default="00065788" w:rsidP="00065788">
            <w:pPr>
              <w:pStyle w:val="a6"/>
              <w:jc w:val="center"/>
              <w:rPr>
                <w:b/>
                <w:bCs/>
              </w:rPr>
            </w:pPr>
          </w:p>
          <w:p w:rsidR="00065788" w:rsidRPr="00E57928" w:rsidRDefault="00065788" w:rsidP="00065788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Расходные материалы </w:t>
            </w:r>
            <w:r w:rsidRPr="00E57928">
              <w:rPr>
                <w:b/>
                <w:bCs/>
              </w:rPr>
              <w:t xml:space="preserve"> для Анализатора мочи </w:t>
            </w:r>
            <w:proofErr w:type="spellStart"/>
            <w:r w:rsidRPr="00E57928">
              <w:rPr>
                <w:b/>
                <w:bCs/>
                <w:lang w:val="en-US"/>
              </w:rPr>
              <w:t>Atel</w:t>
            </w:r>
            <w:r>
              <w:rPr>
                <w:b/>
                <w:bCs/>
                <w:lang w:val="en-US"/>
              </w:rPr>
              <w:t>l</w:t>
            </w:r>
            <w:r w:rsidRPr="00E57928">
              <w:rPr>
                <w:b/>
                <w:bCs/>
                <w:lang w:val="en-US"/>
              </w:rPr>
              <w:t>ica</w:t>
            </w:r>
            <w:proofErr w:type="spellEnd"/>
            <w:r w:rsidRPr="00E57928">
              <w:rPr>
                <w:b/>
                <w:bCs/>
              </w:rPr>
              <w:t xml:space="preserve"> </w:t>
            </w:r>
            <w:r w:rsidRPr="00E57928">
              <w:rPr>
                <w:b/>
                <w:bCs/>
                <w:lang w:val="en-US"/>
              </w:rPr>
              <w:t>UAS</w:t>
            </w:r>
            <w:r w:rsidRPr="00E57928">
              <w:rPr>
                <w:b/>
                <w:bCs/>
              </w:rPr>
              <w:t xml:space="preserve"> 800</w:t>
            </w:r>
          </w:p>
          <w:p w:rsidR="00065788" w:rsidRDefault="0006578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4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4536"/>
              <w:gridCol w:w="4536"/>
              <w:gridCol w:w="992"/>
              <w:gridCol w:w="709"/>
              <w:gridCol w:w="1134"/>
              <w:gridCol w:w="992"/>
            </w:tblGrid>
            <w:tr w:rsidR="00065788" w:rsidRPr="000D37A7" w:rsidTr="00AC0924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788" w:rsidRPr="000D37A7" w:rsidRDefault="00065788" w:rsidP="007517ED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788" w:rsidRPr="000D37A7" w:rsidRDefault="00065788" w:rsidP="007517ED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0D37A7" w:rsidRDefault="00065788" w:rsidP="007517ED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Краткая техническая спецификация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788" w:rsidRPr="000D37A7" w:rsidRDefault="00065788" w:rsidP="007517ED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0D37A7" w:rsidRDefault="00065788" w:rsidP="007517ED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Цена за упаковку</w:t>
                  </w:r>
                </w:p>
                <w:p w:rsidR="00065788" w:rsidRDefault="00065788" w:rsidP="007517ED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(тенге)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065788" w:rsidRDefault="00065788" w:rsidP="007517ED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(тенге)</w:t>
                  </w:r>
                </w:p>
              </w:tc>
            </w:tr>
            <w:tr w:rsidR="00065788" w:rsidRPr="000D37A7" w:rsidTr="00AC0924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Pr="00E57928" w:rsidRDefault="00065788" w:rsidP="007517ED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  <w:r w:rsidRPr="00E57928">
                    <w:rPr>
                      <w:b/>
                      <w:bCs/>
                      <w:sz w:val="20"/>
                      <w:szCs w:val="20"/>
                    </w:rPr>
                    <w:t xml:space="preserve">Картриджи </w:t>
                  </w:r>
                  <w:proofErr w:type="spellStart"/>
                  <w:r w:rsidRPr="00E57928">
                    <w:rPr>
                      <w:b/>
                      <w:bCs/>
                      <w:sz w:val="20"/>
                      <w:szCs w:val="20"/>
                    </w:rPr>
                    <w:t>Atellica</w:t>
                  </w:r>
                  <w:proofErr w:type="spellEnd"/>
                  <w:r w:rsidRPr="00E57928">
                    <w:rPr>
                      <w:b/>
                      <w:bCs/>
                      <w:sz w:val="20"/>
                      <w:szCs w:val="20"/>
                    </w:rPr>
                    <w:t xml:space="preserve"> UAS 800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8C35B5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proofErr w:type="gramStart"/>
                  <w:r w:rsidRPr="008C35B5">
                    <w:rPr>
                      <w:sz w:val="18"/>
                      <w:szCs w:val="18"/>
                    </w:rPr>
                    <w:t xml:space="preserve">Предназначены для определения в осадке мочи человека следующих частиц: бактерии, палочковидных бактерии, кокковых бактерии, кристаллов, гиалиновых цилиндров, патологических цилиндров, слизи, многослойного плоского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неорогвевшего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эпителия, спермы, многослойного плоского ороговевшего эпителий, эритроцитов,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>лейкоцитов, скопления лейкоцитов и дрожжевых грибков.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C35B5">
                    <w:rPr>
                      <w:sz w:val="18"/>
                      <w:szCs w:val="18"/>
                    </w:rPr>
                    <w:t>Предназначен</w:t>
                  </w:r>
                  <w:proofErr w:type="gramEnd"/>
                  <w:r w:rsidRPr="008C35B5">
                    <w:rPr>
                      <w:sz w:val="18"/>
                      <w:szCs w:val="18"/>
                    </w:rPr>
                    <w:t xml:space="preserve"> для профессионального диагностического применения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vitro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в клинических лабораториях квалифицированными сотрудниками.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>Материал: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92C54">
                    <w:rPr>
                      <w:sz w:val="18"/>
                      <w:szCs w:val="18"/>
                    </w:rPr>
                    <w:t>Полипропилен</w:t>
                  </w:r>
                  <w:r>
                    <w:rPr>
                      <w:sz w:val="18"/>
                      <w:szCs w:val="18"/>
                    </w:rPr>
                    <w:t xml:space="preserve">. Параметры кюветы, </w:t>
                  </w:r>
                  <w:proofErr w:type="gramStart"/>
                  <w:r>
                    <w:rPr>
                      <w:sz w:val="18"/>
                      <w:szCs w:val="18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:19 (высота) х 2 (ширина) х 19 (длина). </w:t>
                  </w:r>
                  <w:r w:rsidRPr="008C35B5">
                    <w:rPr>
                      <w:sz w:val="18"/>
                      <w:szCs w:val="18"/>
                    </w:rPr>
                    <w:t>Фасовка: Кюветы поставляются в картридже, в котором содержится 50 кювет</w:t>
                  </w:r>
                  <w:r>
                    <w:rPr>
                      <w:sz w:val="18"/>
                      <w:szCs w:val="18"/>
                    </w:rPr>
                    <w:t>;</w:t>
                  </w:r>
                  <w:r w:rsidRPr="008C35B5">
                    <w:rPr>
                      <w:sz w:val="18"/>
                      <w:szCs w:val="18"/>
                    </w:rPr>
                    <w:t xml:space="preserve"> 12 картридж</w:t>
                  </w:r>
                  <w:r>
                    <w:rPr>
                      <w:sz w:val="18"/>
                      <w:szCs w:val="18"/>
                    </w:rPr>
                    <w:t xml:space="preserve">ей с кюветами (всего 600 кювет). В каждой упаковке имеется регистрационная карточка </w:t>
                  </w:r>
                  <w:r w:rsidRPr="0073492C">
                    <w:rPr>
                      <w:sz w:val="18"/>
                      <w:szCs w:val="18"/>
                    </w:rPr>
                    <w:t>кювет</w:t>
                  </w:r>
                  <w:r>
                    <w:rPr>
                      <w:sz w:val="18"/>
                      <w:szCs w:val="18"/>
                    </w:rPr>
                    <w:t xml:space="preserve"> с индивидуальным </w:t>
                  </w:r>
                  <w:r w:rsidRPr="008D181E">
                    <w:rPr>
                      <w:sz w:val="18"/>
                      <w:szCs w:val="18"/>
                    </w:rPr>
                    <w:t>код</w:t>
                  </w:r>
                  <w:r>
                    <w:rPr>
                      <w:sz w:val="18"/>
                      <w:szCs w:val="18"/>
                    </w:rPr>
                    <w:t xml:space="preserve">ом. </w:t>
                  </w:r>
                  <w:r>
                    <w:rPr>
                      <w:rFonts w:cs="Siemens Sans Global"/>
                      <w:color w:val="000000"/>
                      <w:sz w:val="18"/>
                      <w:szCs w:val="18"/>
                    </w:rPr>
                    <w:t xml:space="preserve">Каждая кювета рассчитана на однократное использование. </w:t>
                  </w:r>
                  <w:r w:rsidRPr="008C35B5">
                    <w:rPr>
                      <w:sz w:val="18"/>
                      <w:szCs w:val="18"/>
                    </w:rPr>
                    <w:t>Условия хранения: от 0</w:t>
                  </w:r>
                  <w:r w:rsidRPr="008C35B5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8C35B5">
                    <w:rPr>
                      <w:sz w:val="18"/>
                      <w:szCs w:val="18"/>
                    </w:rPr>
                    <w:t>С до +45</w:t>
                  </w:r>
                  <w:r w:rsidRPr="008C35B5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8C35B5">
                    <w:rPr>
                      <w:sz w:val="18"/>
                      <w:szCs w:val="18"/>
                    </w:rPr>
                    <w:t>С, вдали от солнечных лучей света.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>Срок годности: 2 года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8C35B5">
                    <w:rPr>
                      <w:sz w:val="18"/>
                      <w:szCs w:val="18"/>
                    </w:rPr>
                    <w:t>Соответствует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 xml:space="preserve">Директиве 98/79/ЕС по медицинским средствам диагностики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vitro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8C35B5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 w:rsidRPr="009A6B2D">
                    <w:rPr>
                      <w:sz w:val="18"/>
                      <w:szCs w:val="18"/>
                    </w:rPr>
                    <w:t xml:space="preserve">Материал: Полипропилен. Параметры кюветы, </w:t>
                  </w:r>
                  <w:proofErr w:type="gramStart"/>
                  <w:r w:rsidRPr="009A6B2D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9A6B2D">
                    <w:rPr>
                      <w:sz w:val="18"/>
                      <w:szCs w:val="18"/>
                    </w:rPr>
                    <w:t xml:space="preserve">:19 (высота) х 2 (ширина) х 19 (длина). Фасовка: Кюветы поставляются в картридже, в котором содержится 50 кювет; 12 картриджей с кюветами (всего 600 кювет). В каждой упаковке имеется регистрационная карточка кювет с индивидуальным кодом. Каждая кювета рассчитана на однократное использование. Срок годности: 2 года. Соответствует Директиве 98/79/ЕС по медицинским средствам диагностики </w:t>
                  </w:r>
                  <w:proofErr w:type="spellStart"/>
                  <w:r w:rsidRPr="009A6B2D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9A6B2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A6B2D">
                    <w:rPr>
                      <w:sz w:val="18"/>
                      <w:szCs w:val="18"/>
                    </w:rPr>
                    <w:t>vitro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8C35B5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C35B5">
                    <w:rPr>
                      <w:sz w:val="18"/>
                      <w:szCs w:val="18"/>
                    </w:rPr>
                    <w:t>паковка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588 000,00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5292000</w:t>
                  </w:r>
                </w:p>
              </w:tc>
            </w:tr>
            <w:tr w:rsidR="00065788" w:rsidRPr="000D37A7" w:rsidTr="00AC0924">
              <w:trPr>
                <w:trHeight w:val="888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Default="00065788" w:rsidP="007517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Контрольный материал для анализа мочи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Кватифи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Плюс, двухуровневый </w:t>
                  </w:r>
                </w:p>
                <w:p w:rsidR="00065788" w:rsidRPr="00E57928" w:rsidRDefault="00065788" w:rsidP="007517ED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8C35B5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Контрольная  моча, </w:t>
                  </w:r>
                  <w:proofErr w:type="gramStart"/>
                  <w:r>
                    <w:rPr>
                      <w:sz w:val="18"/>
                      <w:szCs w:val="18"/>
                    </w:rPr>
                    <w:t>двухуровневый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Pr="00887118" w:rsidRDefault="00065788" w:rsidP="007517ED">
                  <w:pPr>
                    <w:pStyle w:val="a6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</w:rPr>
                    <w:t xml:space="preserve">Жидкий контрольный материал для проведения ежедневного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внутрилабораторного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контроля общего анализа мочи с помощью тест полосок. Фасовка: 10*12 мл, двухуровневый, по 5 пробирок каждого уровня. </w:t>
                  </w:r>
                  <w:proofErr w:type="gramStart"/>
                  <w:r>
                    <w:rPr>
                      <w:sz w:val="18"/>
                      <w:szCs w:val="18"/>
                    </w:rPr>
                    <w:t>Основа-жидкая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человеческая моча. Подходит для сухих биохимических тестов и микроскопии осадка мочи. Наличие паспортных значений для анализатора </w:t>
                  </w:r>
                  <w:r>
                    <w:rPr>
                      <w:sz w:val="18"/>
                      <w:szCs w:val="18"/>
                      <w:lang w:val="en-US"/>
                    </w:rPr>
                    <w:t>Siemens</w:t>
                  </w:r>
                  <w:r w:rsidRPr="0088711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Atellica</w:t>
                  </w:r>
                  <w:proofErr w:type="spellEnd"/>
                  <w:r w:rsidRPr="00887118">
                    <w:rPr>
                      <w:sz w:val="18"/>
                      <w:szCs w:val="18"/>
                    </w:rPr>
                    <w:t xml:space="preserve">/ </w:t>
                  </w:r>
                  <w:r>
                    <w:rPr>
                      <w:sz w:val="18"/>
                      <w:szCs w:val="18"/>
                      <w:lang w:val="kk-KZ"/>
                    </w:rPr>
                    <w:t xml:space="preserve">годности не менее 2 лет от даты производства. Стабильность вскрытого флакона- не менее 30 дней при температуре 2-25 С. Включает не менее 18 показателей.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Набор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23"/>
                      <w:szCs w:val="23"/>
                      <w:lang w:val="kk-KZ"/>
                    </w:rPr>
                    <w:t>407</w:t>
                  </w:r>
                  <w:r>
                    <w:rPr>
                      <w:bCs/>
                      <w:color w:val="000000"/>
                      <w:sz w:val="23"/>
                      <w:szCs w:val="23"/>
                    </w:rPr>
                    <w:t xml:space="preserve">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23"/>
                      <w:szCs w:val="23"/>
                      <w:lang w:val="kk-KZ"/>
                    </w:rPr>
                    <w:t>407000</w:t>
                  </w:r>
                </w:p>
              </w:tc>
            </w:tr>
            <w:tr w:rsidR="00065788" w:rsidRPr="000D37A7" w:rsidTr="00AC0924">
              <w:trPr>
                <w:trHeight w:val="888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788" w:rsidRDefault="00065788" w:rsidP="007517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bCs/>
                      <w:color w:val="000000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788" w:rsidRDefault="00065788" w:rsidP="007517ED">
                  <w:pPr>
                    <w:pStyle w:val="a6"/>
                    <w:rPr>
                      <w:bCs/>
                      <w:color w:val="000000"/>
                      <w:sz w:val="23"/>
                      <w:szCs w:val="23"/>
                      <w:lang w:val="kk-KZ"/>
                    </w:rPr>
                  </w:pPr>
                </w:p>
              </w:tc>
            </w:tr>
          </w:tbl>
          <w:p w:rsidR="00B35D18" w:rsidRPr="00E87256" w:rsidRDefault="00B35D18" w:rsidP="00AC0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C0924" w:rsidRDefault="00AC0924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C0924" w:rsidRDefault="00AC0924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lastRenderedPageBreak/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AC0924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AC0924">
        <w:rPr>
          <w:sz w:val="24"/>
          <w:szCs w:val="24"/>
        </w:rPr>
        <w:t>16</w:t>
      </w:r>
      <w:r w:rsidR="00E226A3">
        <w:rPr>
          <w:sz w:val="24"/>
          <w:szCs w:val="24"/>
        </w:rPr>
        <w:t xml:space="preserve"> октября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Срок окончания приема заявок: 09 часов 45 минут </w:t>
      </w:r>
      <w:r w:rsidR="00E226A3">
        <w:rPr>
          <w:sz w:val="24"/>
          <w:szCs w:val="24"/>
        </w:rPr>
        <w:t>2</w:t>
      </w:r>
      <w:r w:rsidR="00AC0924">
        <w:rPr>
          <w:sz w:val="24"/>
          <w:szCs w:val="24"/>
        </w:rPr>
        <w:t>3</w:t>
      </w:r>
      <w:r w:rsidR="00DF1960">
        <w:rPr>
          <w:sz w:val="24"/>
          <w:szCs w:val="24"/>
          <w:lang w:val="kk-KZ"/>
        </w:rPr>
        <w:t xml:space="preserve"> </w:t>
      </w:r>
      <w:r w:rsidR="00E226A3">
        <w:rPr>
          <w:sz w:val="24"/>
          <w:szCs w:val="24"/>
        </w:rPr>
        <w:t>октября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AC0924">
        <w:rPr>
          <w:sz w:val="24"/>
          <w:szCs w:val="24"/>
        </w:rPr>
        <w:t>23</w:t>
      </w:r>
      <w:bookmarkStart w:id="0" w:name="_GoBack"/>
      <w:bookmarkEnd w:id="0"/>
      <w:r w:rsidR="00E226A3">
        <w:rPr>
          <w:sz w:val="24"/>
          <w:szCs w:val="24"/>
          <w:lang w:val="kk-KZ"/>
        </w:rPr>
        <w:t xml:space="preserve"> </w:t>
      </w:r>
      <w:r w:rsidR="00E226A3">
        <w:rPr>
          <w:sz w:val="24"/>
          <w:szCs w:val="24"/>
        </w:rPr>
        <w:t>октября</w:t>
      </w:r>
      <w:r w:rsidR="00E226A3" w:rsidRPr="00E87256">
        <w:rPr>
          <w:sz w:val="24"/>
          <w:szCs w:val="24"/>
        </w:rPr>
        <w:t xml:space="preserve"> 20</w:t>
      </w:r>
      <w:r w:rsidR="00E226A3">
        <w:rPr>
          <w:sz w:val="24"/>
          <w:szCs w:val="24"/>
        </w:rPr>
        <w:t>20</w:t>
      </w:r>
      <w:r w:rsidR="00E226A3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emens Sans Global">
    <w:altName w:val="Siemens Sans Glob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0924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226A3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7A1D-DF1B-47DA-BA0A-EAD7D24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cp:lastPrinted>2017-02-27T05:06:00Z</cp:lastPrinted>
  <dcterms:created xsi:type="dcterms:W3CDTF">2019-02-20T09:36:00Z</dcterms:created>
  <dcterms:modified xsi:type="dcterms:W3CDTF">2020-10-16T04:52:00Z</dcterms:modified>
</cp:coreProperties>
</file>